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</w:t>
      </w:r>
      <w:r>
        <w:rPr>
          <w:rFonts w:hint="eastAsia"/>
          <w:b/>
          <w:bCs/>
          <w:sz w:val="28"/>
          <w:szCs w:val="28"/>
          <w:lang w:eastAsia="zh-CN"/>
        </w:rPr>
        <w:t>专业学位研究生优秀实践成果评选</w:t>
      </w:r>
      <w:r>
        <w:rPr>
          <w:rFonts w:hint="eastAsia"/>
          <w:b/>
          <w:bCs/>
          <w:sz w:val="28"/>
          <w:szCs w:val="28"/>
        </w:rPr>
        <w:t>上报限额数量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378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中共浙江省委党校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0"/>
    <w:rsid w:val="00205C38"/>
    <w:rsid w:val="00367DDB"/>
    <w:rsid w:val="004121F7"/>
    <w:rsid w:val="00FA69C0"/>
    <w:rsid w:val="24411CE2"/>
    <w:rsid w:val="27AE510E"/>
    <w:rsid w:val="4D5867E9"/>
    <w:rsid w:val="616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2019-09-09T09:01:00Z</dcterms:created>
  <dc:creator>HP</dc:creator>
  <cp:lastModifiedBy>ZJU</cp:lastModifiedBy>
  <dcterms:modified xsi:type="dcterms:W3CDTF">2021-03-17T01:46:56Z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